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A4" w:rsidRDefault="00E71697" w:rsidP="00E71697">
      <w:pPr>
        <w:jc w:val="center"/>
        <w:rPr>
          <w:b/>
          <w:sz w:val="28"/>
          <w:u w:val="single"/>
        </w:rPr>
      </w:pPr>
      <w:r w:rsidRPr="00E71697">
        <w:rPr>
          <w:b/>
          <w:sz w:val="28"/>
          <w:u w:val="single"/>
        </w:rPr>
        <w:t>Regarding M.Ed. Admission (2021-22)</w:t>
      </w:r>
    </w:p>
    <w:p w:rsidR="00E71697" w:rsidRPr="00994E6C" w:rsidRDefault="00E71697" w:rsidP="00994E6C">
      <w:pPr>
        <w:jc w:val="both"/>
        <w:rPr>
          <w:sz w:val="24"/>
          <w:szCs w:val="24"/>
        </w:rPr>
      </w:pPr>
      <w:r w:rsidRPr="00994E6C">
        <w:rPr>
          <w:sz w:val="24"/>
          <w:szCs w:val="24"/>
        </w:rPr>
        <w:t>Dear Student,</w:t>
      </w:r>
    </w:p>
    <w:p w:rsidR="00E71697" w:rsidRPr="00994E6C" w:rsidRDefault="00E71697" w:rsidP="00994E6C">
      <w:pPr>
        <w:jc w:val="both"/>
        <w:rPr>
          <w:sz w:val="24"/>
          <w:szCs w:val="24"/>
        </w:rPr>
      </w:pPr>
      <w:r w:rsidRPr="00994E6C">
        <w:rPr>
          <w:sz w:val="24"/>
          <w:szCs w:val="24"/>
        </w:rPr>
        <w:tab/>
        <w:t>It is hereby informed that some seats in M.Ed. Prog</w:t>
      </w:r>
      <w:r w:rsidR="001C007E" w:rsidRPr="00994E6C">
        <w:rPr>
          <w:sz w:val="24"/>
          <w:szCs w:val="24"/>
        </w:rPr>
        <w:t xml:space="preserve">ramme of Department of Education, Kurukshetra University, </w:t>
      </w:r>
      <w:proofErr w:type="gramStart"/>
      <w:r w:rsidR="001C007E" w:rsidRPr="00994E6C">
        <w:rPr>
          <w:sz w:val="24"/>
          <w:szCs w:val="24"/>
        </w:rPr>
        <w:t>Kurukshetra</w:t>
      </w:r>
      <w:proofErr w:type="gramEnd"/>
      <w:r w:rsidR="001C007E" w:rsidRPr="00994E6C">
        <w:rPr>
          <w:sz w:val="24"/>
          <w:szCs w:val="24"/>
        </w:rPr>
        <w:t xml:space="preserve"> are still lying vacant. Please check the status of vacant seats by logging in to Admission Portal.</w:t>
      </w:r>
    </w:p>
    <w:p w:rsidR="0040681C" w:rsidRPr="00994E6C" w:rsidRDefault="0040681C" w:rsidP="00994E6C">
      <w:pPr>
        <w:jc w:val="both"/>
        <w:rPr>
          <w:sz w:val="24"/>
          <w:szCs w:val="24"/>
        </w:rPr>
      </w:pPr>
      <w:r w:rsidRPr="00994E6C">
        <w:rPr>
          <w:sz w:val="24"/>
          <w:szCs w:val="24"/>
        </w:rPr>
        <w:t>The details of vacant seats:</w:t>
      </w: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1164"/>
        <w:gridCol w:w="1212"/>
        <w:gridCol w:w="578"/>
        <w:gridCol w:w="661"/>
        <w:gridCol w:w="652"/>
        <w:gridCol w:w="518"/>
        <w:gridCol w:w="1029"/>
        <w:gridCol w:w="734"/>
        <w:gridCol w:w="728"/>
        <w:gridCol w:w="661"/>
        <w:gridCol w:w="1639"/>
      </w:tblGrid>
      <w:tr w:rsidR="006F300B" w:rsidRPr="00994E6C" w:rsidTr="00CC1F2E">
        <w:tc>
          <w:tcPr>
            <w:tcW w:w="1164" w:type="dxa"/>
            <w:vMerge w:val="restart"/>
          </w:tcPr>
          <w:p w:rsidR="006F300B" w:rsidRPr="009830FA" w:rsidRDefault="006F300B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Name of Dept.</w:t>
            </w:r>
          </w:p>
        </w:tc>
        <w:tc>
          <w:tcPr>
            <w:tcW w:w="1212" w:type="dxa"/>
            <w:vMerge w:val="restart"/>
          </w:tcPr>
          <w:p w:rsidR="006F300B" w:rsidRPr="009830FA" w:rsidRDefault="006F300B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No. of Sanctioned Seats</w:t>
            </w:r>
          </w:p>
        </w:tc>
        <w:tc>
          <w:tcPr>
            <w:tcW w:w="7200" w:type="dxa"/>
            <w:gridSpan w:val="9"/>
          </w:tcPr>
          <w:p w:rsidR="006F300B" w:rsidRPr="009830FA" w:rsidRDefault="006F300B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Vacant seats as per State Govt. Reservation Policy</w:t>
            </w:r>
          </w:p>
        </w:tc>
      </w:tr>
      <w:tr w:rsidR="00D80179" w:rsidRPr="00994E6C" w:rsidTr="00CC1F2E">
        <w:tc>
          <w:tcPr>
            <w:tcW w:w="1164" w:type="dxa"/>
            <w:vMerge/>
          </w:tcPr>
          <w:p w:rsidR="006F300B" w:rsidRPr="009830FA" w:rsidRDefault="006F300B" w:rsidP="00994E6C">
            <w:pPr>
              <w:rPr>
                <w:szCs w:val="24"/>
              </w:rPr>
            </w:pPr>
          </w:p>
        </w:tc>
        <w:tc>
          <w:tcPr>
            <w:tcW w:w="1212" w:type="dxa"/>
            <w:vMerge/>
          </w:tcPr>
          <w:p w:rsidR="006F300B" w:rsidRPr="009830FA" w:rsidRDefault="006F300B" w:rsidP="00994E6C">
            <w:pPr>
              <w:rPr>
                <w:szCs w:val="24"/>
              </w:rPr>
            </w:pPr>
          </w:p>
        </w:tc>
        <w:tc>
          <w:tcPr>
            <w:tcW w:w="578" w:type="dxa"/>
          </w:tcPr>
          <w:p w:rsidR="006F300B" w:rsidRPr="009830FA" w:rsidRDefault="006F300B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AIC</w:t>
            </w:r>
          </w:p>
        </w:tc>
        <w:tc>
          <w:tcPr>
            <w:tcW w:w="661" w:type="dxa"/>
          </w:tcPr>
          <w:p w:rsidR="006F300B" w:rsidRPr="009830FA" w:rsidRDefault="006F300B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EWS out of AIC</w:t>
            </w:r>
          </w:p>
        </w:tc>
        <w:tc>
          <w:tcPr>
            <w:tcW w:w="652" w:type="dxa"/>
          </w:tcPr>
          <w:p w:rsidR="006F300B" w:rsidRPr="009830FA" w:rsidRDefault="006F300B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HGC</w:t>
            </w:r>
          </w:p>
        </w:tc>
        <w:tc>
          <w:tcPr>
            <w:tcW w:w="518" w:type="dxa"/>
          </w:tcPr>
          <w:p w:rsidR="006F300B" w:rsidRPr="009830FA" w:rsidRDefault="006F300B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SC</w:t>
            </w:r>
          </w:p>
        </w:tc>
        <w:tc>
          <w:tcPr>
            <w:tcW w:w="1029" w:type="dxa"/>
          </w:tcPr>
          <w:p w:rsidR="006F300B" w:rsidRPr="009830FA" w:rsidRDefault="006F300B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Deprived SC</w:t>
            </w:r>
          </w:p>
        </w:tc>
        <w:tc>
          <w:tcPr>
            <w:tcW w:w="734" w:type="dxa"/>
          </w:tcPr>
          <w:p w:rsidR="006F300B" w:rsidRPr="009830FA" w:rsidRDefault="006F300B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BC(A)</w:t>
            </w:r>
          </w:p>
        </w:tc>
        <w:tc>
          <w:tcPr>
            <w:tcW w:w="728" w:type="dxa"/>
          </w:tcPr>
          <w:p w:rsidR="006F300B" w:rsidRPr="009830FA" w:rsidRDefault="006F300B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BC(B)</w:t>
            </w:r>
          </w:p>
        </w:tc>
        <w:tc>
          <w:tcPr>
            <w:tcW w:w="661" w:type="dxa"/>
          </w:tcPr>
          <w:p w:rsidR="006F300B" w:rsidRPr="009830FA" w:rsidRDefault="006F300B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EWS</w:t>
            </w:r>
            <w:r w:rsidR="009D0A18">
              <w:rPr>
                <w:szCs w:val="24"/>
              </w:rPr>
              <w:t xml:space="preserve"> out of HGC</w:t>
            </w:r>
          </w:p>
        </w:tc>
        <w:tc>
          <w:tcPr>
            <w:tcW w:w="1639" w:type="dxa"/>
          </w:tcPr>
          <w:p w:rsidR="006F300B" w:rsidRPr="009830FA" w:rsidRDefault="006F300B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Differently Abled/ESM/DFF</w:t>
            </w:r>
          </w:p>
        </w:tc>
      </w:tr>
      <w:tr w:rsidR="00CC1F2E" w:rsidRPr="00994E6C" w:rsidTr="00CC1F2E">
        <w:tc>
          <w:tcPr>
            <w:tcW w:w="1164" w:type="dxa"/>
          </w:tcPr>
          <w:p w:rsidR="00DE16CE" w:rsidRPr="009830FA" w:rsidRDefault="006F300B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Dept. of Education, KUK</w:t>
            </w:r>
          </w:p>
        </w:tc>
        <w:tc>
          <w:tcPr>
            <w:tcW w:w="1212" w:type="dxa"/>
          </w:tcPr>
          <w:p w:rsidR="00DE16CE" w:rsidRPr="009830FA" w:rsidRDefault="006F300B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50</w:t>
            </w:r>
          </w:p>
        </w:tc>
        <w:tc>
          <w:tcPr>
            <w:tcW w:w="578" w:type="dxa"/>
          </w:tcPr>
          <w:p w:rsidR="00DE16CE" w:rsidRPr="009830FA" w:rsidRDefault="00D80179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01</w:t>
            </w:r>
          </w:p>
        </w:tc>
        <w:tc>
          <w:tcPr>
            <w:tcW w:w="661" w:type="dxa"/>
          </w:tcPr>
          <w:p w:rsidR="00DE16CE" w:rsidRPr="009830FA" w:rsidRDefault="00D80179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01</w:t>
            </w:r>
          </w:p>
        </w:tc>
        <w:tc>
          <w:tcPr>
            <w:tcW w:w="652" w:type="dxa"/>
          </w:tcPr>
          <w:p w:rsidR="00DE16CE" w:rsidRPr="009830FA" w:rsidRDefault="00D80179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12</w:t>
            </w:r>
          </w:p>
        </w:tc>
        <w:tc>
          <w:tcPr>
            <w:tcW w:w="518" w:type="dxa"/>
          </w:tcPr>
          <w:p w:rsidR="00DE16CE" w:rsidRPr="009830FA" w:rsidRDefault="00D80179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04</w:t>
            </w:r>
          </w:p>
        </w:tc>
        <w:tc>
          <w:tcPr>
            <w:tcW w:w="1029" w:type="dxa"/>
          </w:tcPr>
          <w:p w:rsidR="00DE16CE" w:rsidRPr="009830FA" w:rsidRDefault="00D80179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04</w:t>
            </w:r>
          </w:p>
        </w:tc>
        <w:tc>
          <w:tcPr>
            <w:tcW w:w="734" w:type="dxa"/>
          </w:tcPr>
          <w:p w:rsidR="00DE16CE" w:rsidRPr="009830FA" w:rsidRDefault="00D80179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07</w:t>
            </w:r>
          </w:p>
        </w:tc>
        <w:tc>
          <w:tcPr>
            <w:tcW w:w="728" w:type="dxa"/>
          </w:tcPr>
          <w:p w:rsidR="00DE16CE" w:rsidRPr="009830FA" w:rsidRDefault="00D80179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05</w:t>
            </w:r>
          </w:p>
        </w:tc>
        <w:tc>
          <w:tcPr>
            <w:tcW w:w="661" w:type="dxa"/>
          </w:tcPr>
          <w:p w:rsidR="00DE16CE" w:rsidRPr="009830FA" w:rsidRDefault="00D80179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02</w:t>
            </w:r>
          </w:p>
        </w:tc>
        <w:tc>
          <w:tcPr>
            <w:tcW w:w="1639" w:type="dxa"/>
          </w:tcPr>
          <w:p w:rsidR="00DE16CE" w:rsidRPr="009830FA" w:rsidRDefault="00534480" w:rsidP="00994E6C">
            <w:pPr>
              <w:rPr>
                <w:szCs w:val="24"/>
              </w:rPr>
            </w:pPr>
            <w:r w:rsidRPr="009830FA">
              <w:rPr>
                <w:szCs w:val="24"/>
              </w:rPr>
              <w:t>01</w:t>
            </w:r>
          </w:p>
        </w:tc>
      </w:tr>
    </w:tbl>
    <w:p w:rsidR="0040681C" w:rsidRPr="00994E6C" w:rsidRDefault="0040681C" w:rsidP="00994E6C">
      <w:pPr>
        <w:jc w:val="both"/>
        <w:rPr>
          <w:sz w:val="24"/>
          <w:szCs w:val="24"/>
        </w:rPr>
      </w:pPr>
    </w:p>
    <w:p w:rsidR="007D296E" w:rsidRPr="00994E6C" w:rsidRDefault="00CC24BF" w:rsidP="00994E6C">
      <w:pPr>
        <w:jc w:val="both"/>
        <w:rPr>
          <w:sz w:val="24"/>
          <w:szCs w:val="24"/>
        </w:rPr>
      </w:pPr>
      <w:r>
        <w:rPr>
          <w:sz w:val="24"/>
          <w:szCs w:val="24"/>
        </w:rPr>
        <w:t>After the Second List, t</w:t>
      </w:r>
      <w:r w:rsidR="007D296E" w:rsidRPr="00994E6C">
        <w:rPr>
          <w:sz w:val="24"/>
          <w:szCs w:val="24"/>
        </w:rPr>
        <w:t>he interested applicants who are otherwise eligible and whose names either have not appeared in any of the list(s) or have appeared in the list but failed to deposit their due</w:t>
      </w:r>
      <w:r w:rsidR="009D0A18">
        <w:rPr>
          <w:sz w:val="24"/>
          <w:szCs w:val="24"/>
        </w:rPr>
        <w:t>s</w:t>
      </w:r>
      <w:r w:rsidR="007D296E" w:rsidRPr="00994E6C">
        <w:rPr>
          <w:sz w:val="24"/>
          <w:szCs w:val="24"/>
        </w:rPr>
        <w:t xml:space="preserve">, must mark their attendance online by paying fee of </w:t>
      </w:r>
      <w:proofErr w:type="spellStart"/>
      <w:r w:rsidR="007D296E" w:rsidRPr="00994E6C">
        <w:rPr>
          <w:sz w:val="24"/>
          <w:szCs w:val="24"/>
        </w:rPr>
        <w:t>Rs</w:t>
      </w:r>
      <w:proofErr w:type="spellEnd"/>
      <w:r w:rsidR="007D296E" w:rsidRPr="00994E6C">
        <w:rPr>
          <w:sz w:val="24"/>
          <w:szCs w:val="24"/>
        </w:rPr>
        <w:t>. 100/- on the admission portal as per the following schedule.</w:t>
      </w: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1098"/>
        <w:gridCol w:w="5286"/>
        <w:gridCol w:w="3192"/>
      </w:tblGrid>
      <w:tr w:rsidR="00AF22E5" w:rsidRPr="00994E6C" w:rsidTr="00CC1F2E">
        <w:tc>
          <w:tcPr>
            <w:tcW w:w="1098" w:type="dxa"/>
          </w:tcPr>
          <w:p w:rsidR="00AF22E5" w:rsidRPr="00CC1F2E" w:rsidRDefault="00E240CA" w:rsidP="00994E6C">
            <w:pPr>
              <w:rPr>
                <w:szCs w:val="24"/>
              </w:rPr>
            </w:pPr>
            <w:r w:rsidRPr="00CC1F2E">
              <w:rPr>
                <w:szCs w:val="24"/>
              </w:rPr>
              <w:t>Sr. No.</w:t>
            </w:r>
          </w:p>
        </w:tc>
        <w:tc>
          <w:tcPr>
            <w:tcW w:w="5286" w:type="dxa"/>
          </w:tcPr>
          <w:p w:rsidR="00AF22E5" w:rsidRPr="00CC1F2E" w:rsidRDefault="00E240CA" w:rsidP="00994E6C">
            <w:pPr>
              <w:rPr>
                <w:szCs w:val="24"/>
              </w:rPr>
            </w:pPr>
            <w:r w:rsidRPr="00CC1F2E">
              <w:rPr>
                <w:szCs w:val="24"/>
              </w:rPr>
              <w:t>Particulars</w:t>
            </w:r>
          </w:p>
        </w:tc>
        <w:tc>
          <w:tcPr>
            <w:tcW w:w="3192" w:type="dxa"/>
          </w:tcPr>
          <w:p w:rsidR="00AF22E5" w:rsidRPr="00CC1F2E" w:rsidRDefault="00E240CA" w:rsidP="00994E6C">
            <w:pPr>
              <w:rPr>
                <w:szCs w:val="24"/>
              </w:rPr>
            </w:pPr>
            <w:r w:rsidRPr="00CC1F2E">
              <w:rPr>
                <w:szCs w:val="24"/>
              </w:rPr>
              <w:t>Dates</w:t>
            </w:r>
          </w:p>
        </w:tc>
      </w:tr>
      <w:tr w:rsidR="00AF22E5" w:rsidRPr="00994E6C" w:rsidTr="00CC1F2E">
        <w:tc>
          <w:tcPr>
            <w:tcW w:w="1098" w:type="dxa"/>
          </w:tcPr>
          <w:p w:rsidR="00AF22E5" w:rsidRPr="00CC1F2E" w:rsidRDefault="00E240CA" w:rsidP="00994E6C">
            <w:pPr>
              <w:rPr>
                <w:szCs w:val="24"/>
              </w:rPr>
            </w:pPr>
            <w:r w:rsidRPr="00CC1F2E">
              <w:rPr>
                <w:szCs w:val="24"/>
              </w:rPr>
              <w:t>01.</w:t>
            </w:r>
          </w:p>
        </w:tc>
        <w:tc>
          <w:tcPr>
            <w:tcW w:w="5286" w:type="dxa"/>
          </w:tcPr>
          <w:p w:rsidR="00AF22E5" w:rsidRPr="00CC1F2E" w:rsidRDefault="00BC3176" w:rsidP="00994E6C">
            <w:pPr>
              <w:rPr>
                <w:szCs w:val="24"/>
              </w:rPr>
            </w:pPr>
            <w:r w:rsidRPr="00CC1F2E">
              <w:rPr>
                <w:szCs w:val="24"/>
              </w:rPr>
              <w:t>Notification of vacant seats</w:t>
            </w:r>
          </w:p>
        </w:tc>
        <w:tc>
          <w:tcPr>
            <w:tcW w:w="3192" w:type="dxa"/>
          </w:tcPr>
          <w:p w:rsidR="00AF22E5" w:rsidRPr="00CC1F2E" w:rsidRDefault="00BC3176" w:rsidP="00994E6C">
            <w:pPr>
              <w:rPr>
                <w:szCs w:val="24"/>
              </w:rPr>
            </w:pPr>
            <w:r w:rsidRPr="00CC1F2E">
              <w:rPr>
                <w:szCs w:val="24"/>
              </w:rPr>
              <w:t>13.12.2021</w:t>
            </w:r>
          </w:p>
        </w:tc>
      </w:tr>
      <w:tr w:rsidR="00AF22E5" w:rsidRPr="00994E6C" w:rsidTr="00CC1F2E">
        <w:tc>
          <w:tcPr>
            <w:tcW w:w="1098" w:type="dxa"/>
          </w:tcPr>
          <w:p w:rsidR="00AF22E5" w:rsidRPr="00CC1F2E" w:rsidRDefault="00E240CA" w:rsidP="00994E6C">
            <w:pPr>
              <w:rPr>
                <w:szCs w:val="24"/>
              </w:rPr>
            </w:pPr>
            <w:r w:rsidRPr="00CC1F2E">
              <w:rPr>
                <w:szCs w:val="24"/>
              </w:rPr>
              <w:t>02.</w:t>
            </w:r>
          </w:p>
        </w:tc>
        <w:tc>
          <w:tcPr>
            <w:tcW w:w="5286" w:type="dxa"/>
          </w:tcPr>
          <w:p w:rsidR="00AF22E5" w:rsidRPr="00CC1F2E" w:rsidRDefault="00BC3176" w:rsidP="009D0A18">
            <w:pPr>
              <w:rPr>
                <w:szCs w:val="24"/>
              </w:rPr>
            </w:pPr>
            <w:r w:rsidRPr="00CC1F2E">
              <w:rPr>
                <w:szCs w:val="24"/>
              </w:rPr>
              <w:t xml:space="preserve">Marking of online attendance for participating in the Final List of the </w:t>
            </w:r>
            <w:r w:rsidR="009D0A18">
              <w:rPr>
                <w:szCs w:val="24"/>
              </w:rPr>
              <w:t xml:space="preserve">M.Ed. </w:t>
            </w:r>
            <w:r w:rsidRPr="00CC1F2E">
              <w:rPr>
                <w:szCs w:val="24"/>
              </w:rPr>
              <w:t>programmes will commence from</w:t>
            </w:r>
          </w:p>
        </w:tc>
        <w:tc>
          <w:tcPr>
            <w:tcW w:w="3192" w:type="dxa"/>
          </w:tcPr>
          <w:p w:rsidR="00AF22E5" w:rsidRPr="00CC1F2E" w:rsidRDefault="00C232D0" w:rsidP="00994E6C">
            <w:pPr>
              <w:rPr>
                <w:szCs w:val="24"/>
              </w:rPr>
            </w:pPr>
            <w:r w:rsidRPr="00CC1F2E">
              <w:rPr>
                <w:szCs w:val="24"/>
              </w:rPr>
              <w:t>14</w:t>
            </w:r>
            <w:r w:rsidRPr="00CC1F2E">
              <w:rPr>
                <w:szCs w:val="24"/>
              </w:rPr>
              <w:t>.12.2021</w:t>
            </w:r>
          </w:p>
        </w:tc>
      </w:tr>
      <w:tr w:rsidR="00AF22E5" w:rsidRPr="00994E6C" w:rsidTr="00CC1F2E">
        <w:tc>
          <w:tcPr>
            <w:tcW w:w="1098" w:type="dxa"/>
          </w:tcPr>
          <w:p w:rsidR="00AF22E5" w:rsidRPr="00CC1F2E" w:rsidRDefault="00E240CA" w:rsidP="00994E6C">
            <w:pPr>
              <w:rPr>
                <w:szCs w:val="24"/>
              </w:rPr>
            </w:pPr>
            <w:r w:rsidRPr="00CC1F2E">
              <w:rPr>
                <w:szCs w:val="24"/>
              </w:rPr>
              <w:t>03.</w:t>
            </w:r>
          </w:p>
        </w:tc>
        <w:tc>
          <w:tcPr>
            <w:tcW w:w="5286" w:type="dxa"/>
          </w:tcPr>
          <w:p w:rsidR="00AF22E5" w:rsidRPr="00CC1F2E" w:rsidRDefault="00BC3176" w:rsidP="00994E6C">
            <w:pPr>
              <w:rPr>
                <w:szCs w:val="24"/>
              </w:rPr>
            </w:pPr>
            <w:r w:rsidRPr="00CC1F2E">
              <w:rPr>
                <w:szCs w:val="24"/>
              </w:rPr>
              <w:t>Last date for making of</w:t>
            </w:r>
            <w:r w:rsidR="009D0A18">
              <w:rPr>
                <w:szCs w:val="24"/>
              </w:rPr>
              <w:t xml:space="preserve"> online attendance for the M.Ed.</w:t>
            </w:r>
            <w:r w:rsidR="00FE212D">
              <w:rPr>
                <w:szCs w:val="24"/>
              </w:rPr>
              <w:t xml:space="preserve"> programme</w:t>
            </w:r>
            <w:bookmarkStart w:id="0" w:name="_GoBack"/>
            <w:bookmarkEnd w:id="0"/>
          </w:p>
        </w:tc>
        <w:tc>
          <w:tcPr>
            <w:tcW w:w="3192" w:type="dxa"/>
          </w:tcPr>
          <w:p w:rsidR="00AF22E5" w:rsidRPr="00CC1F2E" w:rsidRDefault="00C232D0" w:rsidP="00994E6C">
            <w:pPr>
              <w:rPr>
                <w:szCs w:val="24"/>
              </w:rPr>
            </w:pPr>
            <w:r w:rsidRPr="00CC1F2E">
              <w:rPr>
                <w:szCs w:val="24"/>
              </w:rPr>
              <w:t>15</w:t>
            </w:r>
            <w:r w:rsidRPr="00CC1F2E">
              <w:rPr>
                <w:szCs w:val="24"/>
              </w:rPr>
              <w:t>.12.2021</w:t>
            </w:r>
            <w:r w:rsidRPr="00CC1F2E">
              <w:rPr>
                <w:szCs w:val="24"/>
              </w:rPr>
              <w:t xml:space="preserve"> till 23:59 hrs.</w:t>
            </w:r>
          </w:p>
        </w:tc>
      </w:tr>
    </w:tbl>
    <w:p w:rsidR="00CC1F2E" w:rsidRDefault="00CC1F2E" w:rsidP="00994E6C">
      <w:pPr>
        <w:jc w:val="both"/>
        <w:rPr>
          <w:sz w:val="24"/>
          <w:szCs w:val="24"/>
        </w:rPr>
      </w:pPr>
    </w:p>
    <w:p w:rsidR="008F7BAF" w:rsidRPr="00994E6C" w:rsidRDefault="008F7BAF" w:rsidP="00994E6C">
      <w:pPr>
        <w:jc w:val="both"/>
        <w:rPr>
          <w:sz w:val="24"/>
          <w:szCs w:val="24"/>
        </w:rPr>
      </w:pPr>
      <w:r w:rsidRPr="00994E6C">
        <w:rPr>
          <w:sz w:val="24"/>
          <w:szCs w:val="24"/>
        </w:rPr>
        <w:t xml:space="preserve">Please ignore, if already taken admission in the M.Ed. Programme. </w:t>
      </w:r>
    </w:p>
    <w:p w:rsidR="00C9540D" w:rsidRDefault="00C9540D" w:rsidP="00E7169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9540D" w:rsidRPr="00E71697" w:rsidRDefault="00C9540D" w:rsidP="00E7169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Chairperson</w:t>
      </w:r>
    </w:p>
    <w:sectPr w:rsidR="00C9540D" w:rsidRPr="00E7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97"/>
    <w:rsid w:val="001C007E"/>
    <w:rsid w:val="0040681C"/>
    <w:rsid w:val="00534480"/>
    <w:rsid w:val="005778E7"/>
    <w:rsid w:val="006F300B"/>
    <w:rsid w:val="007751C7"/>
    <w:rsid w:val="007D296E"/>
    <w:rsid w:val="008F7BAF"/>
    <w:rsid w:val="009830FA"/>
    <w:rsid w:val="00994E6C"/>
    <w:rsid w:val="009D0A18"/>
    <w:rsid w:val="00AC52E4"/>
    <w:rsid w:val="00AF22E5"/>
    <w:rsid w:val="00B8467C"/>
    <w:rsid w:val="00BC3176"/>
    <w:rsid w:val="00C232D0"/>
    <w:rsid w:val="00C57419"/>
    <w:rsid w:val="00C87EA4"/>
    <w:rsid w:val="00C9540D"/>
    <w:rsid w:val="00CC1F2E"/>
    <w:rsid w:val="00CC24BF"/>
    <w:rsid w:val="00D80179"/>
    <w:rsid w:val="00DE16CE"/>
    <w:rsid w:val="00E240CA"/>
    <w:rsid w:val="00E71697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kuk</cp:lastModifiedBy>
  <cp:revision>25</cp:revision>
  <cp:lastPrinted>2021-12-13T21:21:00Z</cp:lastPrinted>
  <dcterms:created xsi:type="dcterms:W3CDTF">2021-12-13T21:02:00Z</dcterms:created>
  <dcterms:modified xsi:type="dcterms:W3CDTF">2021-12-13T21:32:00Z</dcterms:modified>
</cp:coreProperties>
</file>